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B69D" w14:textId="6C082CC5" w:rsidR="003471FD" w:rsidRDefault="004B0378" w:rsidP="00CA76E1">
      <w:pPr>
        <w:tabs>
          <w:tab w:val="left" w:pos="1110"/>
        </w:tabs>
        <w:spacing w:line="1040" w:lineRule="exact"/>
        <w:ind w:firstLine="1225"/>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54787D13" w14:textId="77777777" w:rsidR="003471FD" w:rsidRDefault="003471FD" w:rsidP="007F3400">
      <w:pPr>
        <w:tabs>
          <w:tab w:val="left" w:pos="7920"/>
          <w:tab w:val="left" w:pos="8460"/>
        </w:tabs>
        <w:spacing w:line="600" w:lineRule="exact"/>
        <w:jc w:val="left"/>
        <w:rPr>
          <w:rFonts w:eastAsia="方正仿宋_GBK"/>
          <w:sz w:val="32"/>
          <w:szCs w:val="32"/>
        </w:rPr>
      </w:pPr>
    </w:p>
    <w:p w14:paraId="2D632C27" w14:textId="4C9222B4" w:rsidR="007F3400" w:rsidRPr="002B7AA6" w:rsidRDefault="007E5D29" w:rsidP="002B7AA6">
      <w:pPr>
        <w:tabs>
          <w:tab w:val="left" w:pos="7920"/>
          <w:tab w:val="left" w:pos="8460"/>
        </w:tabs>
        <w:spacing w:line="600" w:lineRule="exact"/>
        <w:jc w:val="center"/>
        <w:rPr>
          <w:rFonts w:ascii="仿宋" w:eastAsia="仿宋" w:hAnsi="仿宋"/>
          <w:sz w:val="32"/>
          <w:szCs w:val="32"/>
        </w:rPr>
      </w:pPr>
      <w:r>
        <w:rPr>
          <w:rFonts w:ascii="仿宋" w:eastAsia="仿宋" w:hAnsi="仿宋" w:hint="eastAsia"/>
          <w:sz w:val="32"/>
          <w:szCs w:val="32"/>
        </w:rPr>
        <w:t>西华学字〔</w:t>
      </w:r>
      <w:r>
        <w:rPr>
          <w:rFonts w:ascii="仿宋" w:eastAsia="仿宋" w:hAnsi="仿宋"/>
          <w:sz w:val="32"/>
          <w:szCs w:val="32"/>
        </w:rPr>
        <w:t>2021〕</w:t>
      </w:r>
      <w:r w:rsidR="00B32889">
        <w:rPr>
          <w:rFonts w:ascii="仿宋" w:eastAsia="仿宋" w:hAnsi="仿宋"/>
          <w:sz w:val="32"/>
          <w:szCs w:val="32"/>
        </w:rPr>
        <w:t>132</w:t>
      </w:r>
      <w:r>
        <w:rPr>
          <w:rFonts w:ascii="仿宋" w:eastAsia="仿宋" w:hAnsi="仿宋"/>
          <w:sz w:val="32"/>
          <w:szCs w:val="32"/>
        </w:rPr>
        <w:t>号</w:t>
      </w:r>
    </w:p>
    <w:p w14:paraId="50A19D5F" w14:textId="77777777" w:rsidR="00CA76E1" w:rsidRDefault="00BC66DB" w:rsidP="00CA76E1">
      <w:pPr>
        <w:spacing w:line="1100" w:lineRule="exact"/>
        <w:jc w:val="center"/>
        <w:rPr>
          <w:rFonts w:ascii="方正小标宋简体" w:eastAsia="方正小标宋简体" w:hAnsi="黑体"/>
          <w:sz w:val="36"/>
          <w:szCs w:val="36"/>
        </w:rPr>
      </w:pPr>
      <w:r>
        <w:rPr>
          <w:noProof/>
        </w:rPr>
        <w:pict w14:anchorId="36A6C9CF">
          <v:line id="_x0000_s1048" style="position:absolute;left:0;text-align:left;flip:y;z-index:251657728" from="-8.8pt,14.45pt" to="454.65pt,15pt" strokecolor="red" strokeweight="2pt">
            <w10:wrap type="square"/>
          </v:line>
        </w:pict>
      </w:r>
      <w:r w:rsidR="00CA76E1" w:rsidRPr="005F4F3F">
        <w:rPr>
          <w:rFonts w:ascii="方正小标宋简体" w:eastAsia="方正小标宋简体" w:hAnsi="黑体" w:hint="eastAsia"/>
          <w:sz w:val="36"/>
          <w:szCs w:val="36"/>
        </w:rPr>
        <w:t>关于印发《西华大学</w:t>
      </w:r>
    </w:p>
    <w:p w14:paraId="3EABD2B8" w14:textId="1D4A38B2" w:rsidR="007E5D29" w:rsidRPr="005F4F3F" w:rsidRDefault="00CA76E1" w:rsidP="000E02E2">
      <w:pPr>
        <w:jc w:val="center"/>
        <w:rPr>
          <w:rFonts w:ascii="方正小标宋简体" w:eastAsia="方正小标宋简体" w:hAnsi="黑体"/>
          <w:sz w:val="36"/>
          <w:szCs w:val="36"/>
        </w:rPr>
      </w:pPr>
      <w:r w:rsidRPr="005F4F3F">
        <w:rPr>
          <w:rFonts w:ascii="方正小标宋简体" w:eastAsia="方正小标宋简体" w:hAnsi="黑体" w:hint="eastAsia"/>
          <w:sz w:val="36"/>
          <w:szCs w:val="36"/>
        </w:rPr>
        <w:t>优秀毕业研究生评选办法（修订）》的通知</w:t>
      </w:r>
    </w:p>
    <w:p w14:paraId="331B686A" w14:textId="77777777" w:rsidR="007E5D29" w:rsidRDefault="007E5D29" w:rsidP="000E02E2">
      <w:pPr>
        <w:jc w:val="left"/>
        <w:rPr>
          <w:rFonts w:ascii="仿宋" w:eastAsia="仿宋" w:hAnsi="仿宋"/>
          <w:sz w:val="32"/>
          <w:szCs w:val="32"/>
        </w:rPr>
      </w:pPr>
    </w:p>
    <w:p w14:paraId="3D817FA0" w14:textId="603324C6" w:rsidR="00CA76E1" w:rsidRPr="00BC66DB" w:rsidRDefault="00CA76E1" w:rsidP="000E02E2">
      <w:pPr>
        <w:jc w:val="left"/>
        <w:rPr>
          <w:rFonts w:ascii="仿宋" w:eastAsia="仿宋" w:hAnsi="仿宋"/>
          <w:sz w:val="32"/>
          <w:szCs w:val="32"/>
        </w:rPr>
      </w:pPr>
      <w:r w:rsidRPr="00BC66DB">
        <w:rPr>
          <w:rFonts w:ascii="仿宋" w:eastAsia="仿宋" w:hAnsi="仿宋" w:hint="eastAsia"/>
          <w:sz w:val="32"/>
          <w:szCs w:val="32"/>
        </w:rPr>
        <w:t>各单位：</w:t>
      </w:r>
    </w:p>
    <w:p w14:paraId="2C0A0427" w14:textId="149A8422" w:rsidR="00CA76E1" w:rsidRPr="005F4F3F" w:rsidRDefault="00BC66DB" w:rsidP="000E02E2">
      <w:pPr>
        <w:ind w:firstLineChars="200" w:firstLine="640"/>
        <w:jc w:val="left"/>
        <w:rPr>
          <w:rFonts w:ascii="仿宋" w:eastAsia="仿宋" w:hAnsi="仿宋"/>
          <w:sz w:val="32"/>
          <w:szCs w:val="32"/>
        </w:rPr>
      </w:pPr>
      <w:r>
        <w:rPr>
          <w:rFonts w:ascii="仿宋" w:eastAsia="仿宋" w:hAnsi="仿宋"/>
          <w:noProof/>
          <w:sz w:val="32"/>
          <w:szCs w:val="32"/>
        </w:rPr>
        <w:pict w14:anchorId="1BBC1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DBSTEP_MARK&#10;FILENAME=6540427180691115809docx.docx&#10;MARKNAME=西华大学（新）&#10;USERNAME=校办-公文&#10;DATETIME=2021-8-23 15:8:20&#10;MARKGUID={27E446DD-D724-4CBE-88A2-26BD08559B62}" style="position:absolute;left:0;text-align:left;margin-left:73.9pt;margin-top:375.2pt;width:377.25pt;height:173.25pt;z-index:-251657728;visibility:visible;mso-position-horizontal-relative:page;mso-position-vertical-relative:page">
            <v:imagedata r:id="rId7" o:title="KGiWebOffice2015" chromakey="white" grayscale="t"/>
            <w10:wrap anchorx="page" anchory="page"/>
          </v:shape>
        </w:pict>
      </w:r>
      <w:r w:rsidR="00CA76E1" w:rsidRPr="005F4F3F">
        <w:rPr>
          <w:rFonts w:ascii="仿宋" w:eastAsia="仿宋" w:hAnsi="仿宋" w:hint="eastAsia"/>
          <w:sz w:val="32"/>
          <w:szCs w:val="32"/>
        </w:rPr>
        <w:t>《西华大学优秀毕业研究生评选办法（修订）》经</w:t>
      </w:r>
      <w:r w:rsidR="00CA76E1" w:rsidRPr="005F4F3F">
        <w:rPr>
          <w:rFonts w:ascii="仿宋" w:eastAsia="仿宋" w:hAnsi="仿宋"/>
          <w:sz w:val="32"/>
          <w:szCs w:val="32"/>
        </w:rPr>
        <w:t>2021年7月23日校务会审议通过，现予印发，请遵照执行。</w:t>
      </w:r>
    </w:p>
    <w:p w14:paraId="174E1CA5" w14:textId="3B6E6160" w:rsidR="00CA76E1" w:rsidRDefault="00CA76E1" w:rsidP="000E02E2">
      <w:pPr>
        <w:ind w:firstLineChars="200" w:firstLine="640"/>
        <w:jc w:val="left"/>
        <w:rPr>
          <w:rFonts w:ascii="仿宋" w:eastAsia="仿宋" w:hAnsi="仿宋"/>
          <w:sz w:val="32"/>
          <w:szCs w:val="32"/>
        </w:rPr>
      </w:pPr>
    </w:p>
    <w:p w14:paraId="2AAD9C91" w14:textId="77777777" w:rsidR="00CA76E1" w:rsidRPr="005F4F3F" w:rsidRDefault="00CA76E1" w:rsidP="000E02E2">
      <w:pPr>
        <w:ind w:firstLineChars="200" w:firstLine="640"/>
        <w:jc w:val="left"/>
        <w:rPr>
          <w:rFonts w:ascii="仿宋" w:eastAsia="仿宋" w:hAnsi="仿宋"/>
          <w:sz w:val="32"/>
          <w:szCs w:val="32"/>
        </w:rPr>
      </w:pPr>
    </w:p>
    <w:p w14:paraId="615C2A1C" w14:textId="77777777" w:rsidR="00CA76E1" w:rsidRPr="005F4F3F" w:rsidRDefault="00CA76E1" w:rsidP="000E02E2">
      <w:pPr>
        <w:wordWrap w:val="0"/>
        <w:ind w:right="560"/>
        <w:jc w:val="right"/>
        <w:rPr>
          <w:rFonts w:ascii="仿宋" w:eastAsia="仿宋" w:hAnsi="仿宋"/>
          <w:sz w:val="32"/>
          <w:szCs w:val="32"/>
        </w:rPr>
      </w:pPr>
      <w:r w:rsidRPr="005F4F3F">
        <w:rPr>
          <w:rFonts w:ascii="仿宋" w:eastAsia="仿宋" w:hAnsi="仿宋" w:hint="eastAsia"/>
          <w:sz w:val="32"/>
          <w:szCs w:val="32"/>
        </w:rPr>
        <w:t>西华大学</w:t>
      </w:r>
      <w:r>
        <w:rPr>
          <w:rFonts w:ascii="仿宋" w:eastAsia="仿宋" w:hAnsi="仿宋"/>
          <w:sz w:val="32"/>
          <w:szCs w:val="32"/>
        </w:rPr>
        <w:t xml:space="preserve">         </w:t>
      </w:r>
    </w:p>
    <w:p w14:paraId="27C8604C" w14:textId="2791697E" w:rsidR="00CA76E1" w:rsidRPr="005F4F3F" w:rsidRDefault="00CA76E1" w:rsidP="00CA76E1">
      <w:pPr>
        <w:wordWrap w:val="0"/>
        <w:jc w:val="right"/>
        <w:rPr>
          <w:rFonts w:ascii="仿宋" w:eastAsia="仿宋" w:hAnsi="仿宋"/>
          <w:b/>
          <w:bCs/>
          <w:sz w:val="32"/>
          <w:szCs w:val="32"/>
        </w:rPr>
      </w:pPr>
      <w:r w:rsidRPr="005F4F3F">
        <w:rPr>
          <w:rFonts w:ascii="仿宋" w:eastAsia="仿宋" w:hAnsi="仿宋"/>
          <w:sz w:val="32"/>
          <w:szCs w:val="32"/>
        </w:rPr>
        <w:t xml:space="preserve">              2021年7月28日</w:t>
      </w:r>
      <w:r>
        <w:rPr>
          <w:rFonts w:ascii="仿宋" w:eastAsia="仿宋" w:hAnsi="仿宋" w:hint="eastAsia"/>
          <w:sz w:val="32"/>
          <w:szCs w:val="32"/>
        </w:rPr>
        <w:t xml:space="preserve"> </w:t>
      </w:r>
      <w:r>
        <w:rPr>
          <w:rFonts w:ascii="仿宋" w:eastAsia="仿宋" w:hAnsi="仿宋"/>
          <w:sz w:val="32"/>
          <w:szCs w:val="32"/>
        </w:rPr>
        <w:t xml:space="preserve">       </w:t>
      </w:r>
    </w:p>
    <w:p w14:paraId="4D22FB35" w14:textId="77777777" w:rsidR="00CA76E1" w:rsidRPr="005F4F3F" w:rsidRDefault="00CA76E1" w:rsidP="00AC03A1">
      <w:pPr>
        <w:jc w:val="center"/>
        <w:rPr>
          <w:rFonts w:ascii="仿宋" w:eastAsia="仿宋" w:hAnsi="仿宋"/>
          <w:b/>
          <w:bCs/>
          <w:sz w:val="32"/>
          <w:szCs w:val="32"/>
        </w:rPr>
      </w:pPr>
    </w:p>
    <w:p w14:paraId="520BF18D" w14:textId="77777777" w:rsidR="00CA76E1" w:rsidRDefault="00CA76E1" w:rsidP="00AC03A1">
      <w:pPr>
        <w:jc w:val="center"/>
        <w:rPr>
          <w:rFonts w:ascii="方正小标宋简体" w:eastAsia="方正小标宋简体" w:hAnsi="黑体"/>
          <w:sz w:val="36"/>
          <w:szCs w:val="36"/>
        </w:rPr>
      </w:pPr>
      <w:r>
        <w:rPr>
          <w:rFonts w:ascii="方正小标宋简体" w:eastAsia="方正小标宋简体" w:hAnsi="黑体" w:hint="eastAsia"/>
          <w:sz w:val="36"/>
          <w:szCs w:val="36"/>
        </w:rPr>
        <w:t xml:space="preserve"> </w:t>
      </w:r>
    </w:p>
    <w:p w14:paraId="2F3E8B23" w14:textId="77777777" w:rsidR="00CA76E1" w:rsidRPr="005F4F3F" w:rsidRDefault="00CA76E1" w:rsidP="00AC03A1">
      <w:pPr>
        <w:jc w:val="center"/>
        <w:rPr>
          <w:rFonts w:ascii="方正小标宋简体" w:eastAsia="方正小标宋简体" w:hAnsi="黑体"/>
          <w:sz w:val="36"/>
          <w:szCs w:val="36"/>
        </w:rPr>
      </w:pPr>
      <w:r>
        <w:rPr>
          <w:rFonts w:ascii="方正小标宋简体" w:eastAsia="方正小标宋简体" w:hAnsi="黑体"/>
          <w:sz w:val="36"/>
          <w:szCs w:val="36"/>
        </w:rPr>
        <w:br w:type="page"/>
      </w:r>
      <w:r w:rsidRPr="005F4F3F">
        <w:rPr>
          <w:rFonts w:ascii="方正小标宋简体" w:eastAsia="方正小标宋简体" w:hAnsi="黑体" w:hint="eastAsia"/>
          <w:sz w:val="36"/>
          <w:szCs w:val="36"/>
        </w:rPr>
        <w:lastRenderedPageBreak/>
        <w:t>西华大学优秀毕业研究生评选办法（修订）</w:t>
      </w:r>
    </w:p>
    <w:p w14:paraId="0D6C7A2F" w14:textId="77777777" w:rsidR="00CA76E1" w:rsidRPr="00CA76E1" w:rsidRDefault="00CA76E1" w:rsidP="00CA76E1">
      <w:pPr>
        <w:spacing w:beforeLines="100" w:before="312" w:line="620" w:lineRule="exact"/>
        <w:jc w:val="center"/>
        <w:rPr>
          <w:rFonts w:ascii="黑体" w:eastAsia="黑体" w:hAnsi="黑体"/>
          <w:bCs/>
          <w:sz w:val="32"/>
          <w:szCs w:val="32"/>
        </w:rPr>
      </w:pPr>
      <w:r w:rsidRPr="00CA76E1">
        <w:rPr>
          <w:rFonts w:ascii="黑体" w:eastAsia="黑体" w:hAnsi="黑体" w:hint="eastAsia"/>
          <w:bCs/>
          <w:sz w:val="32"/>
          <w:szCs w:val="32"/>
        </w:rPr>
        <w:t>第一章 总则</w:t>
      </w:r>
    </w:p>
    <w:p w14:paraId="159826F5" w14:textId="77777777" w:rsidR="00CA76E1" w:rsidRPr="00CA76E1" w:rsidRDefault="00CA76E1" w:rsidP="00CA76E1">
      <w:pPr>
        <w:spacing w:line="620" w:lineRule="exact"/>
        <w:ind w:firstLineChars="200" w:firstLine="643"/>
        <w:rPr>
          <w:rFonts w:ascii="仿宋" w:eastAsia="仿宋" w:hAnsi="仿宋"/>
          <w:sz w:val="32"/>
          <w:szCs w:val="32"/>
        </w:rPr>
      </w:pPr>
      <w:r w:rsidRPr="00CA76E1">
        <w:rPr>
          <w:rFonts w:ascii="仿宋" w:eastAsia="仿宋" w:hAnsi="仿宋" w:hint="eastAsia"/>
          <w:b/>
          <w:sz w:val="32"/>
          <w:szCs w:val="32"/>
        </w:rPr>
        <w:t>第一条</w:t>
      </w:r>
      <w:r w:rsidRPr="00CA76E1">
        <w:rPr>
          <w:rFonts w:ascii="仿宋" w:eastAsia="仿宋" w:hAnsi="仿宋" w:hint="eastAsia"/>
          <w:sz w:val="32"/>
          <w:szCs w:val="32"/>
        </w:rPr>
        <w:t xml:space="preserve"> 为落实立德树人根本任务，培养德智体美劳全面发展的社会主义建设者和接班人，充分发挥先进典型示范引领作用，引导广大研究生毕业生将个人成长成才融入治蜀兴川伟大实践，将个人前途与国家命运同频共振，为全面建设社会主义现代化国家贡献青春力量，根据中共中央、国务院《关于加强和改进新形势下高校思想政治工作的意见》、教育部《普通高等学校学生管理规定》和四川省教育厅《四川省普通高等学校优秀毕业生评选认定办法》等文件精神，结合学校实际，制定本办法。</w:t>
      </w:r>
    </w:p>
    <w:p w14:paraId="091B3C3B" w14:textId="77777777" w:rsidR="00CA76E1" w:rsidRPr="00CA76E1" w:rsidRDefault="00CA76E1" w:rsidP="00CA76E1">
      <w:pPr>
        <w:spacing w:line="620" w:lineRule="exact"/>
        <w:ind w:firstLine="570"/>
        <w:rPr>
          <w:rFonts w:ascii="仿宋" w:eastAsia="仿宋" w:hAnsi="仿宋"/>
          <w:sz w:val="32"/>
          <w:szCs w:val="32"/>
        </w:rPr>
      </w:pPr>
      <w:r w:rsidRPr="00CA76E1">
        <w:rPr>
          <w:rFonts w:ascii="仿宋" w:eastAsia="仿宋" w:hAnsi="仿宋" w:hint="eastAsia"/>
          <w:b/>
          <w:sz w:val="32"/>
          <w:szCs w:val="32"/>
        </w:rPr>
        <w:t>第二条</w:t>
      </w:r>
      <w:r w:rsidRPr="00CA76E1">
        <w:rPr>
          <w:rFonts w:ascii="仿宋" w:eastAsia="仿宋" w:hAnsi="仿宋" w:hint="eastAsia"/>
          <w:sz w:val="32"/>
          <w:szCs w:val="32"/>
        </w:rPr>
        <w:t xml:space="preserve"> 优秀毕业研究生包括四川省优秀毕业研究生和西华大学优秀毕业研究生。参评对象为西华大学研究生应届毕业生。如当年度四川省教育厅对评选范围有特别规定的，依其相关规定执行。</w:t>
      </w:r>
    </w:p>
    <w:p w14:paraId="74E251E3" w14:textId="77777777" w:rsidR="00CA76E1" w:rsidRPr="00CA76E1" w:rsidRDefault="00CA76E1" w:rsidP="00CA76E1">
      <w:pPr>
        <w:spacing w:line="620" w:lineRule="exact"/>
        <w:ind w:firstLine="570"/>
        <w:rPr>
          <w:rFonts w:ascii="仿宋" w:eastAsia="仿宋" w:hAnsi="仿宋"/>
          <w:sz w:val="32"/>
          <w:szCs w:val="32"/>
        </w:rPr>
      </w:pPr>
      <w:r w:rsidRPr="00CA76E1">
        <w:rPr>
          <w:rFonts w:ascii="仿宋" w:eastAsia="仿宋" w:hAnsi="仿宋" w:hint="eastAsia"/>
          <w:b/>
          <w:sz w:val="32"/>
          <w:szCs w:val="32"/>
        </w:rPr>
        <w:t>第三条</w:t>
      </w:r>
      <w:r w:rsidRPr="00CA76E1">
        <w:rPr>
          <w:rFonts w:ascii="仿宋" w:eastAsia="仿宋" w:hAnsi="仿宋" w:hint="eastAsia"/>
          <w:sz w:val="32"/>
          <w:szCs w:val="32"/>
        </w:rPr>
        <w:t xml:space="preserve"> 省级优秀毕业研究生的评选比例为应届毕业研究生总数的3</w:t>
      </w:r>
      <w:r w:rsidRPr="00CA76E1">
        <w:rPr>
          <w:rFonts w:ascii="仿宋" w:eastAsia="仿宋" w:hAnsi="仿宋"/>
          <w:sz w:val="32"/>
          <w:szCs w:val="32"/>
        </w:rPr>
        <w:t>%</w:t>
      </w:r>
      <w:r w:rsidRPr="00CA76E1">
        <w:rPr>
          <w:rFonts w:ascii="仿宋" w:eastAsia="仿宋" w:hAnsi="仿宋" w:hint="eastAsia"/>
          <w:sz w:val="32"/>
          <w:szCs w:val="32"/>
        </w:rPr>
        <w:t>，校级优秀毕业研究生为应届毕业研究生总数的7</w:t>
      </w:r>
      <w:r w:rsidRPr="00CA76E1">
        <w:rPr>
          <w:rFonts w:ascii="仿宋" w:eastAsia="仿宋" w:hAnsi="仿宋"/>
          <w:sz w:val="32"/>
          <w:szCs w:val="32"/>
        </w:rPr>
        <w:t>%</w:t>
      </w:r>
      <w:r w:rsidRPr="00CA76E1">
        <w:rPr>
          <w:rFonts w:ascii="仿宋" w:eastAsia="仿宋" w:hAnsi="仿宋" w:hint="eastAsia"/>
          <w:sz w:val="32"/>
          <w:szCs w:val="32"/>
        </w:rPr>
        <w:t>。</w:t>
      </w:r>
    </w:p>
    <w:p w14:paraId="296C62FC" w14:textId="77777777" w:rsidR="00CA76E1" w:rsidRPr="00CA76E1" w:rsidRDefault="00CA76E1" w:rsidP="00CA76E1">
      <w:pPr>
        <w:spacing w:beforeLines="100" w:before="312" w:line="620" w:lineRule="exact"/>
        <w:jc w:val="center"/>
        <w:rPr>
          <w:rFonts w:ascii="黑体" w:eastAsia="黑体" w:hAnsi="黑体"/>
          <w:bCs/>
          <w:sz w:val="32"/>
          <w:szCs w:val="32"/>
        </w:rPr>
      </w:pPr>
      <w:r w:rsidRPr="00CA76E1">
        <w:rPr>
          <w:rFonts w:ascii="黑体" w:eastAsia="黑体" w:hAnsi="黑体" w:hint="eastAsia"/>
          <w:bCs/>
          <w:sz w:val="32"/>
          <w:szCs w:val="32"/>
        </w:rPr>
        <w:t xml:space="preserve">第二章 </w:t>
      </w:r>
      <w:r w:rsidRPr="00CA76E1">
        <w:rPr>
          <w:rFonts w:ascii="黑体" w:eastAsia="黑体" w:hAnsi="黑体"/>
          <w:bCs/>
          <w:sz w:val="32"/>
          <w:szCs w:val="32"/>
        </w:rPr>
        <w:t xml:space="preserve"> </w:t>
      </w:r>
      <w:r w:rsidRPr="00CA76E1">
        <w:rPr>
          <w:rFonts w:ascii="黑体" w:eastAsia="黑体" w:hAnsi="黑体" w:hint="eastAsia"/>
          <w:bCs/>
          <w:sz w:val="32"/>
          <w:szCs w:val="32"/>
        </w:rPr>
        <w:t>评选条件</w:t>
      </w:r>
    </w:p>
    <w:p w14:paraId="3E1E1837" w14:textId="77777777" w:rsidR="00CA76E1" w:rsidRDefault="00CA76E1" w:rsidP="00CA76E1">
      <w:pPr>
        <w:spacing w:line="620" w:lineRule="exact"/>
        <w:ind w:firstLine="570"/>
        <w:rPr>
          <w:rFonts w:ascii="仿宋" w:eastAsia="仿宋" w:hAnsi="仿宋"/>
          <w:sz w:val="32"/>
          <w:szCs w:val="32"/>
        </w:rPr>
      </w:pPr>
      <w:r w:rsidRPr="00CA76E1">
        <w:rPr>
          <w:rFonts w:ascii="仿宋" w:eastAsia="仿宋" w:hAnsi="仿宋" w:hint="eastAsia"/>
          <w:b/>
          <w:sz w:val="32"/>
          <w:szCs w:val="32"/>
        </w:rPr>
        <w:t>第四条</w:t>
      </w:r>
      <w:r w:rsidRPr="00CA76E1">
        <w:rPr>
          <w:rFonts w:ascii="仿宋" w:eastAsia="仿宋" w:hAnsi="仿宋" w:hint="eastAsia"/>
          <w:sz w:val="32"/>
          <w:szCs w:val="32"/>
        </w:rPr>
        <w:t xml:space="preserve"> 参评优秀毕业研究生应具备以下基本条件：</w:t>
      </w:r>
    </w:p>
    <w:p w14:paraId="2393D870" w14:textId="77777777" w:rsidR="00CA76E1" w:rsidRPr="00CA76E1" w:rsidRDefault="00CA76E1" w:rsidP="00CA76E1">
      <w:pPr>
        <w:spacing w:line="620" w:lineRule="exact"/>
        <w:ind w:firstLine="570"/>
        <w:rPr>
          <w:rFonts w:ascii="仿宋" w:eastAsia="仿宋" w:hAnsi="仿宋"/>
          <w:sz w:val="32"/>
          <w:szCs w:val="32"/>
        </w:rPr>
      </w:pPr>
      <w:r w:rsidRPr="00CA76E1">
        <w:rPr>
          <w:rFonts w:ascii="仿宋" w:eastAsia="仿宋" w:hAnsi="仿宋" w:hint="eastAsia"/>
          <w:sz w:val="32"/>
          <w:szCs w:val="32"/>
        </w:rPr>
        <w:t>（一）始终坚持学习践行习近平新时代中国特色社会主义思想，理想信念坚定，在政治上、思想上和行动上与党中央保持一致；</w:t>
      </w:r>
    </w:p>
    <w:p w14:paraId="79E30E16"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lastRenderedPageBreak/>
        <w:t>（二）具有正确的世界观、价值观和人生观，志存高远、脚踏实地，不畏艰难险阻，勇担时代使命；</w:t>
      </w:r>
    </w:p>
    <w:p w14:paraId="16A05430"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t>（三）具有优良的道德品行，遵守国家法律、法规和学校各项规章制度，诚实守信，在校期间未受过处分，无不良记录；</w:t>
      </w:r>
    </w:p>
    <w:p w14:paraId="1FCA6206"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t>（四）学习勤奋，学业优秀，在校期间至少获得1次二等及以上学业奖学金，未出现不合格课程情况；</w:t>
      </w:r>
    </w:p>
    <w:p w14:paraId="321F3694" w14:textId="77777777" w:rsid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t>（五）积极参加科学研究和社会实践活动，在学风建设、成长成才方面发挥了较为突出的示范引领作用。</w:t>
      </w:r>
    </w:p>
    <w:p w14:paraId="727DA0A8" w14:textId="77777777" w:rsidR="00CA76E1" w:rsidRDefault="00CA76E1" w:rsidP="00CA76E1">
      <w:pPr>
        <w:spacing w:line="620" w:lineRule="exact"/>
        <w:ind w:firstLineChars="200" w:firstLine="643"/>
        <w:rPr>
          <w:rFonts w:ascii="仿宋" w:eastAsia="仿宋" w:hAnsi="仿宋"/>
          <w:sz w:val="32"/>
          <w:szCs w:val="32"/>
        </w:rPr>
      </w:pPr>
      <w:r w:rsidRPr="00CA76E1">
        <w:rPr>
          <w:rFonts w:ascii="仿宋" w:eastAsia="仿宋" w:hAnsi="仿宋" w:hint="eastAsia"/>
          <w:b/>
          <w:sz w:val="32"/>
          <w:szCs w:val="32"/>
        </w:rPr>
        <w:t xml:space="preserve">第五条 </w:t>
      </w:r>
      <w:r w:rsidRPr="00CA76E1">
        <w:rPr>
          <w:rFonts w:ascii="仿宋" w:eastAsia="仿宋" w:hAnsi="仿宋" w:hint="eastAsia"/>
          <w:sz w:val="32"/>
          <w:szCs w:val="32"/>
        </w:rPr>
        <w:t>有下列情形的不能参评优秀毕业研究生：</w:t>
      </w:r>
    </w:p>
    <w:p w14:paraId="58894584" w14:textId="77777777" w:rsidR="00CA76E1" w:rsidRDefault="00CA76E1" w:rsidP="00CA76E1">
      <w:pPr>
        <w:spacing w:line="620" w:lineRule="exact"/>
        <w:ind w:firstLineChars="200" w:firstLine="640"/>
        <w:rPr>
          <w:rFonts w:ascii="仿宋" w:eastAsia="仿宋" w:hAnsi="仿宋"/>
          <w:sz w:val="32"/>
          <w:szCs w:val="32"/>
        </w:rPr>
      </w:pPr>
      <w:r>
        <w:rPr>
          <w:rFonts w:ascii="仿宋" w:eastAsia="仿宋" w:hAnsi="仿宋" w:hint="eastAsia"/>
          <w:sz w:val="32"/>
          <w:szCs w:val="32"/>
        </w:rPr>
        <w:t>（一）</w:t>
      </w:r>
      <w:r w:rsidRPr="00CA76E1">
        <w:rPr>
          <w:rFonts w:ascii="仿宋" w:eastAsia="仿宋" w:hAnsi="仿宋" w:hint="eastAsia"/>
          <w:sz w:val="32"/>
          <w:szCs w:val="32"/>
        </w:rPr>
        <w:t>学位论文或其它学术成果存在学术不端行为；</w:t>
      </w:r>
    </w:p>
    <w:p w14:paraId="253CB5CB" w14:textId="77777777" w:rsidR="00CA76E1" w:rsidRPr="00CA76E1" w:rsidRDefault="00CA76E1" w:rsidP="00CA76E1">
      <w:pPr>
        <w:spacing w:line="620" w:lineRule="exact"/>
        <w:ind w:firstLineChars="200" w:firstLine="640"/>
        <w:rPr>
          <w:rFonts w:ascii="仿宋" w:eastAsia="仿宋" w:hAnsi="仿宋"/>
          <w:sz w:val="32"/>
          <w:szCs w:val="32"/>
        </w:rPr>
      </w:pPr>
      <w:r>
        <w:rPr>
          <w:rFonts w:ascii="仿宋" w:eastAsia="仿宋" w:hAnsi="仿宋" w:hint="eastAsia"/>
          <w:sz w:val="32"/>
          <w:szCs w:val="32"/>
        </w:rPr>
        <w:t>（二）</w:t>
      </w:r>
      <w:r w:rsidRPr="00CA76E1">
        <w:rPr>
          <w:rFonts w:ascii="仿宋" w:eastAsia="仿宋" w:hAnsi="仿宋" w:hint="eastAsia"/>
          <w:sz w:val="32"/>
          <w:szCs w:val="32"/>
        </w:rPr>
        <w:t>毕业离校前未能按时取得毕业证书和学位证书。</w:t>
      </w:r>
    </w:p>
    <w:p w14:paraId="2516E23F"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t>对响应国家号召献身国防事业，自愿到艰苦边远地区、城乡基层和重点领域等就业的毕业生，以及获得国家级重要奖励的毕业生可优先推荐评选；对在思想品行方面有突出表现或作出突出贡献，获得公认和好评的毕业研究生（须有相应的证明材料），可以直接推荐评选。</w:t>
      </w:r>
    </w:p>
    <w:p w14:paraId="79F258E2" w14:textId="77777777" w:rsidR="00CA76E1" w:rsidRPr="00CA76E1" w:rsidRDefault="00CA76E1" w:rsidP="00CA76E1">
      <w:pPr>
        <w:spacing w:beforeLines="100" w:before="312" w:line="620" w:lineRule="exact"/>
        <w:jc w:val="center"/>
        <w:rPr>
          <w:rFonts w:ascii="黑体" w:eastAsia="黑体" w:hAnsi="黑体"/>
          <w:bCs/>
          <w:sz w:val="32"/>
          <w:szCs w:val="32"/>
        </w:rPr>
      </w:pPr>
      <w:r w:rsidRPr="00CA76E1">
        <w:rPr>
          <w:rFonts w:ascii="黑体" w:eastAsia="黑体" w:hAnsi="黑体" w:hint="eastAsia"/>
          <w:bCs/>
          <w:sz w:val="32"/>
          <w:szCs w:val="32"/>
        </w:rPr>
        <w:t xml:space="preserve">第三章 </w:t>
      </w:r>
      <w:r w:rsidRPr="00CA76E1">
        <w:rPr>
          <w:rFonts w:ascii="黑体" w:eastAsia="黑体" w:hAnsi="黑体"/>
          <w:bCs/>
          <w:sz w:val="32"/>
          <w:szCs w:val="32"/>
        </w:rPr>
        <w:t xml:space="preserve"> </w:t>
      </w:r>
      <w:r w:rsidRPr="00CA76E1">
        <w:rPr>
          <w:rFonts w:ascii="黑体" w:eastAsia="黑体" w:hAnsi="黑体" w:hint="eastAsia"/>
          <w:bCs/>
          <w:sz w:val="32"/>
          <w:szCs w:val="32"/>
        </w:rPr>
        <w:t>选认定程序</w:t>
      </w:r>
    </w:p>
    <w:p w14:paraId="6148D9AD" w14:textId="77777777" w:rsidR="00CA76E1" w:rsidRPr="00CA76E1" w:rsidRDefault="00CA76E1" w:rsidP="00CA76E1">
      <w:pPr>
        <w:spacing w:line="620" w:lineRule="exact"/>
        <w:ind w:firstLineChars="200" w:firstLine="640"/>
        <w:jc w:val="left"/>
        <w:rPr>
          <w:rFonts w:ascii="仿宋" w:eastAsia="仿宋" w:hAnsi="仿宋"/>
          <w:sz w:val="32"/>
          <w:szCs w:val="32"/>
        </w:rPr>
      </w:pPr>
      <w:r w:rsidRPr="00CA76E1">
        <w:rPr>
          <w:rFonts w:ascii="仿宋" w:eastAsia="仿宋" w:hAnsi="仿宋" w:hint="eastAsia"/>
          <w:sz w:val="32"/>
          <w:szCs w:val="32"/>
        </w:rPr>
        <w:t>按照“公开、公平、公正”的原则，综合研究生的科研水平、学业成绩、实践能力、获奖情况和思想素质等条件确定优秀毕业研究生人选。</w:t>
      </w:r>
    </w:p>
    <w:p w14:paraId="42D39A30" w14:textId="77777777" w:rsidR="00CA76E1" w:rsidRPr="00CA76E1" w:rsidRDefault="00CA76E1" w:rsidP="00CA76E1">
      <w:pPr>
        <w:spacing w:line="620" w:lineRule="exact"/>
        <w:ind w:firstLineChars="200" w:firstLine="643"/>
        <w:rPr>
          <w:rFonts w:ascii="仿宋" w:eastAsia="仿宋" w:hAnsi="仿宋"/>
          <w:sz w:val="32"/>
          <w:szCs w:val="32"/>
        </w:rPr>
      </w:pPr>
      <w:r w:rsidRPr="00CA76E1">
        <w:rPr>
          <w:rFonts w:ascii="仿宋" w:eastAsia="仿宋" w:hAnsi="仿宋" w:hint="eastAsia"/>
          <w:b/>
          <w:sz w:val="32"/>
          <w:szCs w:val="32"/>
        </w:rPr>
        <w:t>第六条</w:t>
      </w:r>
      <w:r w:rsidRPr="00CA76E1">
        <w:rPr>
          <w:rFonts w:ascii="仿宋" w:eastAsia="仿宋" w:hAnsi="仿宋" w:hint="eastAsia"/>
          <w:sz w:val="32"/>
          <w:szCs w:val="32"/>
        </w:rPr>
        <w:t xml:space="preserve"> 评选程序：</w:t>
      </w:r>
    </w:p>
    <w:p w14:paraId="4ACF0332"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lastRenderedPageBreak/>
        <w:t>（一）申报。毕业研究生根据评选条件向所在研究生培养单位申报，填写《西华大学优秀毕业研究生评选审批表》；</w:t>
      </w:r>
    </w:p>
    <w:p w14:paraId="02BA7441"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t>（二）初选。各培养单位成立优秀毕业研究生评选工作小组，由分管学生工作的学院领导担任组长，各培养单位制定评选办法或实施细则，并报学生工作部（处）备案。培养单位对申报的研究生进行资格审查，并组织评选，各培养单位按当年毕业生总数的10</w:t>
      </w:r>
      <w:r w:rsidRPr="00CA76E1">
        <w:rPr>
          <w:rFonts w:ascii="仿宋" w:eastAsia="仿宋" w:hAnsi="仿宋"/>
          <w:sz w:val="32"/>
          <w:szCs w:val="32"/>
        </w:rPr>
        <w:t>%</w:t>
      </w:r>
      <w:r w:rsidRPr="00CA76E1">
        <w:rPr>
          <w:rFonts w:ascii="仿宋" w:eastAsia="仿宋" w:hAnsi="仿宋" w:hint="eastAsia"/>
          <w:sz w:val="32"/>
          <w:szCs w:val="32"/>
        </w:rPr>
        <w:t>确定人选，将前4</w:t>
      </w:r>
      <w:r w:rsidRPr="00CA76E1">
        <w:rPr>
          <w:rFonts w:ascii="仿宋" w:eastAsia="仿宋" w:hAnsi="仿宋"/>
          <w:sz w:val="32"/>
          <w:szCs w:val="32"/>
        </w:rPr>
        <w:t>%</w:t>
      </w:r>
      <w:r w:rsidRPr="00CA76E1">
        <w:rPr>
          <w:rFonts w:ascii="仿宋" w:eastAsia="仿宋" w:hAnsi="仿宋" w:hint="eastAsia"/>
          <w:sz w:val="32"/>
          <w:szCs w:val="32"/>
        </w:rPr>
        <w:t>作为省优秀毕业研究生人选（在校优秀毕业生中推选）进行推荐，确定初选名单后报学生工作部（处）；</w:t>
      </w:r>
    </w:p>
    <w:p w14:paraId="460A81FB"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t>（三）审定。学校成立优秀毕业研究生评选工作领导小组，负责学校年度优秀毕业研究生的评选工作。领导小组由分管学生工作的校领导为组长，研究生部、学生工作部（处）、校团委、教务处、就业处等职能部门领导及研究生导师代表为组员组成。领导小组下设办公室，设在学生工作部（处），负责优秀毕业研究生评选的日常管理工作。学校优秀毕业研究生评选工作领导小组以会议评议或集中答辩等方式对推荐的省优秀毕业研究生推荐人选进行评选，确定省优秀毕业研究生人选，各单位推荐的省优秀毕业研究生没有入选的，直接评定为校级优秀毕业研究生；</w:t>
      </w:r>
    </w:p>
    <w:p w14:paraId="1C296603" w14:textId="77777777" w:rsidR="00CA76E1" w:rsidRPr="00CA76E1" w:rsidRDefault="00CA76E1" w:rsidP="00CA76E1">
      <w:pPr>
        <w:spacing w:line="620" w:lineRule="exact"/>
        <w:ind w:firstLineChars="200" w:firstLine="640"/>
        <w:rPr>
          <w:rFonts w:ascii="仿宋" w:eastAsia="仿宋" w:hAnsi="仿宋"/>
          <w:sz w:val="32"/>
          <w:szCs w:val="32"/>
        </w:rPr>
      </w:pPr>
      <w:r w:rsidRPr="00CA76E1">
        <w:rPr>
          <w:rFonts w:ascii="仿宋" w:eastAsia="仿宋" w:hAnsi="仿宋" w:hint="eastAsia"/>
          <w:sz w:val="32"/>
          <w:szCs w:val="32"/>
        </w:rPr>
        <w:t>（四）报批，学校优秀毕业研究生评选工作领导小组确定省优秀毕业研究生和校优秀毕业研究生推荐名单，并公示5个工作日，无异议后将省优秀毕业研究生名单报送教育厅。</w:t>
      </w:r>
    </w:p>
    <w:p w14:paraId="7B3B33D0" w14:textId="77777777" w:rsidR="00CA76E1" w:rsidRPr="00CA76E1" w:rsidRDefault="00CA76E1" w:rsidP="00CA76E1">
      <w:pPr>
        <w:spacing w:beforeLines="100" w:before="312" w:line="620" w:lineRule="exact"/>
        <w:jc w:val="center"/>
        <w:rPr>
          <w:rFonts w:ascii="黑体" w:eastAsia="黑体" w:hAnsi="黑体"/>
          <w:bCs/>
          <w:sz w:val="32"/>
          <w:szCs w:val="32"/>
        </w:rPr>
      </w:pPr>
      <w:r w:rsidRPr="00CA76E1">
        <w:rPr>
          <w:rFonts w:ascii="黑体" w:eastAsia="黑体" w:hAnsi="黑体" w:hint="eastAsia"/>
          <w:bCs/>
          <w:sz w:val="32"/>
          <w:szCs w:val="32"/>
        </w:rPr>
        <w:t xml:space="preserve">第四章 </w:t>
      </w:r>
      <w:r w:rsidRPr="00CA76E1">
        <w:rPr>
          <w:rFonts w:ascii="黑体" w:eastAsia="黑体" w:hAnsi="黑体"/>
          <w:bCs/>
          <w:sz w:val="32"/>
          <w:szCs w:val="32"/>
        </w:rPr>
        <w:t xml:space="preserve"> </w:t>
      </w:r>
      <w:r w:rsidRPr="00CA76E1">
        <w:rPr>
          <w:rFonts w:ascii="黑体" w:eastAsia="黑体" w:hAnsi="黑体" w:hint="eastAsia"/>
          <w:bCs/>
          <w:sz w:val="32"/>
          <w:szCs w:val="32"/>
        </w:rPr>
        <w:t>附则</w:t>
      </w:r>
    </w:p>
    <w:p w14:paraId="293FB1A5" w14:textId="77777777" w:rsidR="00CA76E1" w:rsidRPr="00CA76E1" w:rsidRDefault="00CA76E1" w:rsidP="00CA76E1">
      <w:pPr>
        <w:spacing w:line="620" w:lineRule="exact"/>
        <w:ind w:firstLineChars="200" w:firstLine="643"/>
        <w:rPr>
          <w:rFonts w:ascii="仿宋" w:eastAsia="仿宋" w:hAnsi="仿宋"/>
          <w:sz w:val="32"/>
          <w:szCs w:val="32"/>
        </w:rPr>
      </w:pPr>
      <w:r w:rsidRPr="00CA76E1">
        <w:rPr>
          <w:rFonts w:ascii="仿宋" w:eastAsia="仿宋" w:hAnsi="仿宋" w:hint="eastAsia"/>
          <w:b/>
          <w:sz w:val="32"/>
          <w:szCs w:val="32"/>
        </w:rPr>
        <w:lastRenderedPageBreak/>
        <w:t>第七条</w:t>
      </w:r>
      <w:r w:rsidRPr="00CA76E1">
        <w:rPr>
          <w:rFonts w:ascii="仿宋" w:eastAsia="仿宋" w:hAnsi="仿宋" w:hint="eastAsia"/>
          <w:sz w:val="32"/>
          <w:szCs w:val="32"/>
        </w:rPr>
        <w:t xml:space="preserve"> 对优秀毕业研究生评定工作结束后至毕业生离校前出现不能按期毕业、或有违法违纪违规行为受到处理、处分或学术不端等不良行为的研究生，取消优秀毕业研究生资格。</w:t>
      </w:r>
    </w:p>
    <w:p w14:paraId="0B8EBCD2" w14:textId="77777777" w:rsidR="00CA76E1" w:rsidRPr="00CA76E1" w:rsidRDefault="00CA76E1" w:rsidP="00CA76E1">
      <w:pPr>
        <w:spacing w:line="620" w:lineRule="exact"/>
        <w:ind w:firstLineChars="200" w:firstLine="643"/>
        <w:rPr>
          <w:rFonts w:ascii="仿宋" w:eastAsia="仿宋" w:hAnsi="仿宋"/>
          <w:sz w:val="32"/>
          <w:szCs w:val="32"/>
        </w:rPr>
      </w:pPr>
      <w:r w:rsidRPr="00CA76E1">
        <w:rPr>
          <w:rFonts w:ascii="仿宋" w:eastAsia="仿宋" w:hAnsi="仿宋" w:hint="eastAsia"/>
          <w:b/>
          <w:sz w:val="32"/>
          <w:szCs w:val="32"/>
        </w:rPr>
        <w:t>第八条</w:t>
      </w:r>
      <w:r w:rsidRPr="00CA76E1">
        <w:rPr>
          <w:rFonts w:ascii="仿宋" w:eastAsia="仿宋" w:hAnsi="仿宋" w:hint="eastAsia"/>
          <w:sz w:val="32"/>
          <w:szCs w:val="32"/>
        </w:rPr>
        <w:t xml:space="preserve"> 各培养单位将优秀毕业研究生的有关材料装入毕业生档案，省优秀毕业研究生的《毕业生登记表》上须注明“省优毕业生”字样。</w:t>
      </w:r>
    </w:p>
    <w:p w14:paraId="7DEE6867" w14:textId="77777777" w:rsidR="00CA76E1" w:rsidRPr="00CA76E1" w:rsidRDefault="00CA76E1" w:rsidP="00CA76E1">
      <w:pPr>
        <w:spacing w:line="620" w:lineRule="exact"/>
        <w:ind w:firstLineChars="200" w:firstLine="643"/>
        <w:rPr>
          <w:rFonts w:ascii="仿宋" w:eastAsia="仿宋" w:hAnsi="仿宋"/>
          <w:sz w:val="32"/>
          <w:szCs w:val="32"/>
        </w:rPr>
      </w:pPr>
      <w:r w:rsidRPr="00CA76E1">
        <w:rPr>
          <w:rFonts w:ascii="仿宋" w:eastAsia="仿宋" w:hAnsi="仿宋" w:hint="eastAsia"/>
          <w:b/>
          <w:sz w:val="32"/>
          <w:szCs w:val="32"/>
        </w:rPr>
        <w:t>第九条</w:t>
      </w:r>
      <w:r w:rsidRPr="00CA76E1">
        <w:rPr>
          <w:rFonts w:ascii="仿宋" w:eastAsia="仿宋" w:hAnsi="仿宋" w:hint="eastAsia"/>
          <w:sz w:val="32"/>
          <w:szCs w:val="32"/>
        </w:rPr>
        <w:t xml:space="preserve"> 与西华大学联合培养的研究生，向西华大学相对应的二级培养单位提出申请，由各研究生培养单位按照评审方案统一评定。</w:t>
      </w:r>
    </w:p>
    <w:p w14:paraId="3E282663" w14:textId="77777777" w:rsidR="00CA76E1" w:rsidRPr="00CA76E1" w:rsidRDefault="00CA76E1" w:rsidP="00CA76E1">
      <w:pPr>
        <w:spacing w:line="620" w:lineRule="exact"/>
        <w:ind w:firstLineChars="200" w:firstLine="643"/>
        <w:rPr>
          <w:rFonts w:ascii="仿宋" w:eastAsia="仿宋" w:hAnsi="仿宋"/>
          <w:sz w:val="32"/>
          <w:szCs w:val="32"/>
        </w:rPr>
      </w:pPr>
      <w:r w:rsidRPr="00CA76E1">
        <w:rPr>
          <w:rFonts w:ascii="仿宋" w:eastAsia="仿宋" w:hAnsi="仿宋" w:hint="eastAsia"/>
          <w:b/>
          <w:sz w:val="32"/>
          <w:szCs w:val="32"/>
        </w:rPr>
        <w:t>第十条</w:t>
      </w:r>
      <w:r w:rsidRPr="00CA76E1">
        <w:rPr>
          <w:rFonts w:ascii="仿宋" w:eastAsia="仿宋" w:hAnsi="仿宋" w:hint="eastAsia"/>
          <w:sz w:val="32"/>
          <w:szCs w:val="32"/>
        </w:rPr>
        <w:t xml:space="preserve"> 本办法从发文之日起实施，由学校优秀毕业研究生评选工作领导小组领导办公室负责解释。</w:t>
      </w:r>
    </w:p>
    <w:p w14:paraId="25557E41" w14:textId="77777777" w:rsidR="00541284" w:rsidRPr="00541284" w:rsidRDefault="00541284" w:rsidP="00541284">
      <w:pPr>
        <w:tabs>
          <w:tab w:val="left" w:pos="5543"/>
        </w:tabs>
        <w:spacing w:line="600" w:lineRule="exact"/>
        <w:ind w:right="800"/>
        <w:jc w:val="right"/>
        <w:rPr>
          <w:rFonts w:ascii="方正仿宋_GBK" w:eastAsia="方正仿宋_GBK"/>
          <w:sz w:val="32"/>
          <w:szCs w:val="32"/>
        </w:rPr>
      </w:pPr>
    </w:p>
    <w:p w14:paraId="5BD958BB" w14:textId="77777777" w:rsidR="000F7320" w:rsidRDefault="000F7320"/>
    <w:p w14:paraId="3C2DE4F6" w14:textId="77777777" w:rsidR="002C0945" w:rsidRDefault="002C0945"/>
    <w:p w14:paraId="47B581D7" w14:textId="77777777" w:rsidR="002C0945" w:rsidRDefault="002C0945"/>
    <w:p w14:paraId="1942F218" w14:textId="77777777" w:rsidR="002C0945" w:rsidRDefault="002C0945"/>
    <w:p w14:paraId="384E4628" w14:textId="77777777" w:rsidR="002C0945" w:rsidRDefault="002C0945"/>
    <w:p w14:paraId="2DE6324A" w14:textId="77777777" w:rsidR="002C0945" w:rsidRDefault="002C0945"/>
    <w:p w14:paraId="73241ED7" w14:textId="77777777" w:rsidR="002C0945" w:rsidRDefault="002C0945"/>
    <w:p w14:paraId="4BC015C4" w14:textId="77777777"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14:paraId="0E033DEC" w14:textId="77777777" w:rsidTr="002C0945">
        <w:trPr>
          <w:trHeight w:val="559"/>
        </w:trPr>
        <w:tc>
          <w:tcPr>
            <w:tcW w:w="4530" w:type="dxa"/>
            <w:shd w:val="clear" w:color="auto" w:fill="auto"/>
            <w:vAlign w:val="bottom"/>
          </w:tcPr>
          <w:p w14:paraId="230FDD31" w14:textId="77777777" w:rsidR="002C0945" w:rsidRPr="002B7AA6" w:rsidRDefault="002C0945" w:rsidP="00CA76E1">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14:paraId="32A5643D" w14:textId="77777777" w:rsidR="002C0945" w:rsidRPr="002B7AA6" w:rsidRDefault="002C0945" w:rsidP="00CA76E1">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CA76E1">
              <w:rPr>
                <w:rFonts w:ascii="仿宋" w:eastAsia="仿宋" w:hAnsi="仿宋"/>
                <w:sz w:val="32"/>
                <w:szCs w:val="32"/>
              </w:rPr>
              <w:t>2</w:t>
            </w:r>
            <w:r w:rsidR="002B7AA6">
              <w:rPr>
                <w:rFonts w:ascii="仿宋" w:eastAsia="仿宋" w:hAnsi="仿宋"/>
                <w:sz w:val="32"/>
                <w:szCs w:val="32"/>
              </w:rPr>
              <w:t>1</w:t>
            </w:r>
            <w:r w:rsidRPr="002B7AA6">
              <w:rPr>
                <w:rFonts w:ascii="仿宋" w:eastAsia="仿宋" w:hAnsi="仿宋" w:hint="eastAsia"/>
                <w:sz w:val="32"/>
                <w:szCs w:val="32"/>
              </w:rPr>
              <w:t>年</w:t>
            </w:r>
            <w:r w:rsidR="00CA76E1">
              <w:rPr>
                <w:rFonts w:ascii="仿宋" w:eastAsia="仿宋" w:hAnsi="仿宋" w:hint="eastAsia"/>
                <w:sz w:val="32"/>
                <w:szCs w:val="32"/>
              </w:rPr>
              <w:t>7</w:t>
            </w:r>
            <w:r w:rsidRPr="002B7AA6">
              <w:rPr>
                <w:rFonts w:ascii="仿宋" w:eastAsia="仿宋" w:hAnsi="仿宋" w:hint="eastAsia"/>
                <w:sz w:val="32"/>
                <w:szCs w:val="32"/>
              </w:rPr>
              <w:t>月</w:t>
            </w:r>
            <w:r w:rsidR="00CA76E1">
              <w:rPr>
                <w:rFonts w:ascii="仿宋" w:eastAsia="仿宋" w:hAnsi="仿宋" w:hint="eastAsia"/>
                <w:sz w:val="32"/>
                <w:szCs w:val="32"/>
              </w:rPr>
              <w:t>2</w:t>
            </w:r>
            <w:r w:rsidR="00CA76E1">
              <w:rPr>
                <w:rFonts w:ascii="仿宋" w:eastAsia="仿宋" w:hAnsi="仿宋"/>
                <w:sz w:val="32"/>
                <w:szCs w:val="32"/>
              </w:rPr>
              <w:t>8</w:t>
            </w:r>
            <w:r w:rsidRPr="002B7AA6">
              <w:rPr>
                <w:rFonts w:ascii="仿宋" w:eastAsia="仿宋" w:hAnsi="仿宋" w:hint="eastAsia"/>
                <w:sz w:val="32"/>
                <w:szCs w:val="32"/>
              </w:rPr>
              <w:t>日印</w:t>
            </w:r>
          </w:p>
        </w:tc>
      </w:tr>
      <w:tr w:rsidR="002C0945" w14:paraId="0643142E" w14:textId="77777777" w:rsidTr="002C0945">
        <w:trPr>
          <w:trHeight w:val="113"/>
        </w:trPr>
        <w:tc>
          <w:tcPr>
            <w:tcW w:w="9060" w:type="dxa"/>
            <w:gridSpan w:val="2"/>
            <w:shd w:val="clear" w:color="auto" w:fill="auto"/>
            <w:vAlign w:val="bottom"/>
          </w:tcPr>
          <w:p w14:paraId="2D6B3E55" w14:textId="77777777" w:rsidR="002C0945" w:rsidRPr="002B7AA6" w:rsidRDefault="002C0945" w:rsidP="00CA76E1">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CA76E1">
              <w:rPr>
                <w:rFonts w:ascii="仿宋" w:eastAsia="仿宋" w:hAnsi="仿宋" w:hint="eastAsia"/>
                <w:sz w:val="32"/>
                <w:szCs w:val="32"/>
              </w:rPr>
              <w:t>石建伟（学工部）</w:t>
            </w:r>
          </w:p>
        </w:tc>
      </w:tr>
    </w:tbl>
    <w:p w14:paraId="5669DF42" w14:textId="77777777" w:rsidR="002C0945" w:rsidRDefault="002C0945"/>
    <w:sectPr w:rsidR="002C0945" w:rsidSect="00CA76E1">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9F0F" w14:textId="77777777" w:rsidR="0043541F" w:rsidRDefault="0043541F">
      <w:r>
        <w:separator/>
      </w:r>
    </w:p>
  </w:endnote>
  <w:endnote w:type="continuationSeparator" w:id="0">
    <w:p w14:paraId="4621278D" w14:textId="77777777" w:rsidR="0043541F" w:rsidRDefault="0043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3C74" w14:textId="77777777" w:rsidR="00C36F59" w:rsidRPr="00CA76E1" w:rsidRDefault="00C36F59" w:rsidP="00C86E8D">
    <w:pPr>
      <w:pStyle w:val="a4"/>
      <w:framePr w:wrap="around" w:vAnchor="text" w:hAnchor="margin" w:xAlign="outside" w:y="1"/>
      <w:rPr>
        <w:rStyle w:val="a6"/>
        <w:rFonts w:asciiTheme="minorEastAsia" w:eastAsiaTheme="minorEastAsia" w:hAnsiTheme="minorEastAsia"/>
        <w:sz w:val="28"/>
        <w:szCs w:val="28"/>
      </w:rPr>
    </w:pPr>
    <w:r w:rsidRPr="00CA76E1">
      <w:rPr>
        <w:rStyle w:val="a6"/>
        <w:rFonts w:asciiTheme="minorEastAsia" w:eastAsiaTheme="minorEastAsia" w:hAnsiTheme="minorEastAsia"/>
        <w:sz w:val="28"/>
        <w:szCs w:val="28"/>
      </w:rPr>
      <w:fldChar w:fldCharType="begin"/>
    </w:r>
    <w:r w:rsidRPr="00CA76E1">
      <w:rPr>
        <w:rStyle w:val="a6"/>
        <w:rFonts w:asciiTheme="minorEastAsia" w:eastAsiaTheme="minorEastAsia" w:hAnsiTheme="minorEastAsia"/>
        <w:sz w:val="28"/>
        <w:szCs w:val="28"/>
      </w:rPr>
      <w:instrText xml:space="preserve">PAGE  </w:instrText>
    </w:r>
    <w:r w:rsidRPr="00CA76E1">
      <w:rPr>
        <w:rStyle w:val="a6"/>
        <w:rFonts w:asciiTheme="minorEastAsia" w:eastAsiaTheme="minorEastAsia" w:hAnsiTheme="minorEastAsia"/>
        <w:sz w:val="28"/>
        <w:szCs w:val="28"/>
      </w:rPr>
      <w:fldChar w:fldCharType="separate"/>
    </w:r>
    <w:r w:rsidR="007E5D29">
      <w:rPr>
        <w:rStyle w:val="a6"/>
        <w:rFonts w:asciiTheme="minorEastAsia" w:eastAsiaTheme="minorEastAsia" w:hAnsiTheme="minorEastAsia"/>
        <w:noProof/>
        <w:sz w:val="28"/>
        <w:szCs w:val="28"/>
      </w:rPr>
      <w:t>- 4 -</w:t>
    </w:r>
    <w:r w:rsidRPr="00CA76E1">
      <w:rPr>
        <w:rStyle w:val="a6"/>
        <w:rFonts w:asciiTheme="minorEastAsia" w:eastAsiaTheme="minorEastAsia" w:hAnsiTheme="minorEastAsia"/>
        <w:sz w:val="28"/>
        <w:szCs w:val="28"/>
      </w:rPr>
      <w:fldChar w:fldCharType="end"/>
    </w:r>
  </w:p>
  <w:p w14:paraId="6B3A1D55" w14:textId="77777777" w:rsidR="00C36F59" w:rsidRPr="00CA76E1" w:rsidRDefault="00C36F59" w:rsidP="00D209E6">
    <w:pPr>
      <w:pStyle w:val="a4"/>
      <w:ind w:right="360" w:firstLine="360"/>
      <w:rPr>
        <w:rFonts w:asciiTheme="minorEastAsia" w:eastAsiaTheme="minorEastAsia" w:hAnsiTheme="min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02DC" w14:textId="77777777" w:rsidR="00C36F59" w:rsidRPr="00CA76E1" w:rsidRDefault="002C0945" w:rsidP="00CA76E1">
    <w:pPr>
      <w:pStyle w:val="a4"/>
      <w:jc w:val="right"/>
      <w:rPr>
        <w:rFonts w:asciiTheme="minorEastAsia" w:eastAsiaTheme="minorEastAsia" w:hAnsiTheme="minorEastAsia"/>
        <w:sz w:val="28"/>
        <w:szCs w:val="28"/>
      </w:rPr>
    </w:pPr>
    <w:r w:rsidRPr="00CA76E1">
      <w:rPr>
        <w:rFonts w:asciiTheme="minorEastAsia" w:eastAsiaTheme="minorEastAsia" w:hAnsiTheme="minorEastAsia"/>
        <w:sz w:val="28"/>
        <w:szCs w:val="28"/>
      </w:rPr>
      <w:fldChar w:fldCharType="begin"/>
    </w:r>
    <w:r w:rsidRPr="00CA76E1">
      <w:rPr>
        <w:rFonts w:asciiTheme="minorEastAsia" w:eastAsiaTheme="minorEastAsia" w:hAnsiTheme="minorEastAsia"/>
        <w:sz w:val="28"/>
        <w:szCs w:val="28"/>
      </w:rPr>
      <w:instrText>PAGE   \* MERGEFORMAT</w:instrText>
    </w:r>
    <w:r w:rsidRPr="00CA76E1">
      <w:rPr>
        <w:rFonts w:asciiTheme="minorEastAsia" w:eastAsiaTheme="minorEastAsia" w:hAnsiTheme="minorEastAsia"/>
        <w:sz w:val="28"/>
        <w:szCs w:val="28"/>
      </w:rPr>
      <w:fldChar w:fldCharType="separate"/>
    </w:r>
    <w:r w:rsidR="00763051" w:rsidRPr="00763051">
      <w:rPr>
        <w:rFonts w:asciiTheme="minorEastAsia" w:eastAsiaTheme="minorEastAsia" w:hAnsiTheme="minorEastAsia"/>
        <w:noProof/>
        <w:sz w:val="28"/>
        <w:szCs w:val="28"/>
        <w:lang w:val="zh-CN"/>
      </w:rPr>
      <w:t>-</w:t>
    </w:r>
    <w:r w:rsidR="00763051">
      <w:rPr>
        <w:rFonts w:asciiTheme="minorEastAsia" w:eastAsiaTheme="minorEastAsia" w:hAnsiTheme="minorEastAsia"/>
        <w:noProof/>
        <w:sz w:val="28"/>
        <w:szCs w:val="28"/>
      </w:rPr>
      <w:t xml:space="preserve"> 1 -</w:t>
    </w:r>
    <w:r w:rsidRPr="00CA76E1">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E0D9" w14:textId="77777777" w:rsidR="0043541F" w:rsidRDefault="0043541F">
      <w:r>
        <w:separator/>
      </w:r>
    </w:p>
  </w:footnote>
  <w:footnote w:type="continuationSeparator" w:id="0">
    <w:p w14:paraId="0C10C49C" w14:textId="77777777" w:rsidR="0043541F" w:rsidRDefault="0043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5F9C" w14:textId="77777777" w:rsidR="009A3350" w:rsidRDefault="009A3350" w:rsidP="003D669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125C1"/>
    <w:multiLevelType w:val="hybridMultilevel"/>
    <w:tmpl w:val="EDE282D0"/>
    <w:lvl w:ilvl="0" w:tplc="5D90BE4C">
      <w:start w:val="1"/>
      <w:numFmt w:val="japaneseCounting"/>
      <w:lvlText w:val="（%1）"/>
      <w:lvlJc w:val="left"/>
      <w:pPr>
        <w:ind w:left="1425" w:hanging="85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YN7jqlpI3Q44vNHs3QeTLFGnegjVY9hZS6mzA6NTqjSf6w16j91CfZ1UXS8DhCMzax/mivRyeOrahTR5aLZSw==" w:salt="SkLipwLOY0hQB7tbqRiE8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oa.xhu.edu.cn:80/seeyon/officeservlet"/>
  </w:docVars>
  <w:rsids>
    <w:rsidRoot w:val="009277DC"/>
    <w:rsid w:val="00045AD6"/>
    <w:rsid w:val="0006302D"/>
    <w:rsid w:val="000A5DC3"/>
    <w:rsid w:val="000F7320"/>
    <w:rsid w:val="00105F5F"/>
    <w:rsid w:val="001524A5"/>
    <w:rsid w:val="00184910"/>
    <w:rsid w:val="001D1306"/>
    <w:rsid w:val="001F368B"/>
    <w:rsid w:val="00232659"/>
    <w:rsid w:val="00243D47"/>
    <w:rsid w:val="002B0824"/>
    <w:rsid w:val="002B7AA6"/>
    <w:rsid w:val="002C0945"/>
    <w:rsid w:val="003471FD"/>
    <w:rsid w:val="003D669E"/>
    <w:rsid w:val="00404F67"/>
    <w:rsid w:val="004332E0"/>
    <w:rsid w:val="0043541F"/>
    <w:rsid w:val="004B0378"/>
    <w:rsid w:val="00541284"/>
    <w:rsid w:val="00583783"/>
    <w:rsid w:val="006B5C44"/>
    <w:rsid w:val="007306FE"/>
    <w:rsid w:val="00763051"/>
    <w:rsid w:val="007B092E"/>
    <w:rsid w:val="007E5D29"/>
    <w:rsid w:val="007F3400"/>
    <w:rsid w:val="00803D9E"/>
    <w:rsid w:val="00897169"/>
    <w:rsid w:val="008A2AE9"/>
    <w:rsid w:val="008B0B53"/>
    <w:rsid w:val="008B7CA8"/>
    <w:rsid w:val="008C0B38"/>
    <w:rsid w:val="009277DC"/>
    <w:rsid w:val="00927D13"/>
    <w:rsid w:val="009A3350"/>
    <w:rsid w:val="00A10E77"/>
    <w:rsid w:val="00A775AB"/>
    <w:rsid w:val="00A912E2"/>
    <w:rsid w:val="00AA67FC"/>
    <w:rsid w:val="00AB7531"/>
    <w:rsid w:val="00AD369E"/>
    <w:rsid w:val="00AD6B06"/>
    <w:rsid w:val="00AE754F"/>
    <w:rsid w:val="00B32889"/>
    <w:rsid w:val="00BC66DB"/>
    <w:rsid w:val="00BE1749"/>
    <w:rsid w:val="00BE59F9"/>
    <w:rsid w:val="00C36F59"/>
    <w:rsid w:val="00C41EB5"/>
    <w:rsid w:val="00C86E8D"/>
    <w:rsid w:val="00C94199"/>
    <w:rsid w:val="00C970ED"/>
    <w:rsid w:val="00CA76E1"/>
    <w:rsid w:val="00CD50A4"/>
    <w:rsid w:val="00D209E6"/>
    <w:rsid w:val="00D35019"/>
    <w:rsid w:val="00D407A1"/>
    <w:rsid w:val="00D52850"/>
    <w:rsid w:val="00E5730D"/>
    <w:rsid w:val="00EB709D"/>
    <w:rsid w:val="00F514DB"/>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A856ED"/>
  <w15:chartTrackingRefBased/>
  <w15:docId w15:val="{D52889AA-4C26-49FB-BDED-43546617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 w:type="paragraph" w:styleId="a7">
    <w:name w:val="List Paragraph"/>
    <w:basedOn w:val="a"/>
    <w:uiPriority w:val="34"/>
    <w:qFormat/>
    <w:rsid w:val="00CA76E1"/>
    <w:pPr>
      <w:ind w:firstLineChars="200" w:firstLine="420"/>
    </w:pPr>
    <w:rPr>
      <w:rFonts w:ascii="等线" w:eastAsia="等线" w:hAnsi="等线"/>
      <w:szCs w:val="22"/>
    </w:rPr>
  </w:style>
  <w:style w:type="paragraph" w:styleId="a8">
    <w:name w:val="Balloon Text"/>
    <w:basedOn w:val="a"/>
    <w:link w:val="a9"/>
    <w:semiHidden/>
    <w:unhideWhenUsed/>
    <w:rsid w:val="007B092E"/>
    <w:rPr>
      <w:sz w:val="18"/>
      <w:szCs w:val="18"/>
    </w:rPr>
  </w:style>
  <w:style w:type="character" w:customStyle="1" w:styleId="a9">
    <w:name w:val="批注框文本 字符"/>
    <w:basedOn w:val="a0"/>
    <w:link w:val="a8"/>
    <w:semiHidden/>
    <w:rsid w:val="007B09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王辉艳</cp:lastModifiedBy>
  <cp:revision>2</cp:revision>
  <cp:lastPrinted>2021-08-23T01:57:00Z</cp:lastPrinted>
  <dcterms:created xsi:type="dcterms:W3CDTF">2021-08-23T10:57:00Z</dcterms:created>
  <dcterms:modified xsi:type="dcterms:W3CDTF">2021-08-23T10:57:00Z</dcterms:modified>
</cp:coreProperties>
</file>